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7560"/>
        <w:gridCol w:w="1116"/>
        <w:gridCol w:w="1116"/>
      </w:tblGrid>
      <w:tr w:rsidR="00CE1D0D" w:rsidRPr="00CE1D0D" w:rsidTr="00AB67D1">
        <w:trPr>
          <w:trHeight w:val="228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1D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E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3</w:t>
            </w:r>
          </w:p>
        </w:tc>
      </w:tr>
      <w:tr w:rsidR="00CE1D0D" w:rsidRPr="00CE1D0D" w:rsidTr="00AB67D1">
        <w:trPr>
          <w:trHeight w:val="216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приказу ФБУЗ «Центр гигиены и </w:t>
            </w:r>
          </w:p>
        </w:tc>
      </w:tr>
      <w:tr w:rsidR="00CE1D0D" w:rsidRPr="00CE1D0D" w:rsidTr="00AB67D1">
        <w:trPr>
          <w:trHeight w:val="228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эпидемиологии в ЕАО»  </w:t>
            </w:r>
          </w:p>
        </w:tc>
      </w:tr>
      <w:tr w:rsidR="00CE1D0D" w:rsidRPr="003D1415" w:rsidTr="00AB67D1">
        <w:trPr>
          <w:trHeight w:val="168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D21" w:rsidRDefault="00FD2D21" w:rsidP="00FD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16.12.2026 № 316</w:t>
            </w:r>
          </w:p>
          <w:p w:rsidR="00CE1D0D" w:rsidRPr="003D1415" w:rsidRDefault="00FD2D21" w:rsidP="00FD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 изм. в ред. приказа № 64 от 13.03.2026)</w:t>
            </w:r>
          </w:p>
        </w:tc>
      </w:tr>
      <w:tr w:rsidR="00CE1D0D" w:rsidRPr="00CE1D0D" w:rsidTr="00CE1D0D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E1D0D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CE1D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ИНФОРМАЦИЯ    </w:t>
            </w:r>
          </w:p>
        </w:tc>
      </w:tr>
      <w:tr w:rsidR="00CE1D0D" w:rsidRPr="00CE1D0D" w:rsidTr="00CE1D0D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ценах на платные услуги, оказываемые </w:t>
            </w:r>
          </w:p>
        </w:tc>
      </w:tr>
      <w:tr w:rsidR="00CE1D0D" w:rsidRPr="00CE1D0D" w:rsidTr="00CE1D0D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Федеральным бюджетным учреждением здравоохранения</w:t>
            </w:r>
          </w:p>
        </w:tc>
      </w:tr>
      <w:tr w:rsidR="00CE1D0D" w:rsidRPr="00CE1D0D" w:rsidTr="00CE1D0D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«Центр гигиены и эпидемиологии в Еврейской автономной области»</w:t>
            </w:r>
          </w:p>
        </w:tc>
      </w:tr>
      <w:tr w:rsidR="00CE1D0D" w:rsidRPr="00CE1D0D" w:rsidTr="00CE1D0D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его филиалами*</w:t>
            </w:r>
          </w:p>
        </w:tc>
      </w:tr>
      <w:tr w:rsidR="00CE1D0D" w:rsidRPr="00CE1D0D" w:rsidTr="00CE1D0D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ИССЛЕДОВАНИЯ ИОНИЗИРУЮЩИХ, НЕИОНИЗИРУЮЩИХ </w:t>
            </w:r>
          </w:p>
        </w:tc>
      </w:tr>
      <w:tr w:rsidR="00CE1D0D" w:rsidRPr="00CE1D0D" w:rsidTr="00CE1D0D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ИЗЛУЧЕНИЙ И ДРУГИХ ФИЗИЧЕСКИХ ФАКТОРОВ</w:t>
            </w:r>
          </w:p>
        </w:tc>
      </w:tr>
      <w:tr w:rsidR="00CE1D0D" w:rsidRPr="00CE1D0D" w:rsidTr="00AB67D1">
        <w:trPr>
          <w:trHeight w:val="51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CE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3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в рублях без НДС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в рублях с НДС</w:t>
            </w:r>
          </w:p>
        </w:tc>
      </w:tr>
      <w:tr w:rsidR="00CE1D0D" w:rsidRPr="00CE1D0D" w:rsidTr="00AB67D1">
        <w:trPr>
          <w:trHeight w:val="26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E1D0D" w:rsidRPr="00CE1D0D" w:rsidTr="00AB67D1">
        <w:trPr>
          <w:trHeight w:val="34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ИОНИЗИРУЮЩИЕ ИЗЛУЧЕНИЕ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1D0D" w:rsidRPr="00CE1D0D" w:rsidTr="00AB67D1">
        <w:trPr>
          <w:trHeight w:val="34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Радиологические исследования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E1D0D" w:rsidRPr="00CE1D0D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Продукты питания, продовольственное и растительное сырье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1D0D" w:rsidRPr="00CE1D0D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E1D0D" w:rsidRPr="00CE1D0D" w:rsidRDefault="00CE1D0D" w:rsidP="00CE1D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AB67D1" w:rsidRPr="00AB67D1" w:rsidTr="00AB67D1">
        <w:trPr>
          <w:trHeight w:val="37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удельной активности радионуклидов (цезий-137) (1 проба)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1287,00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1570,14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удельной активности радионуклидов (стронций-90) (1 проба)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1761,00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2148,42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объемной активности (радон-222) (1 проба)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1828,00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2230,16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суммарной альфа–активности и бета-активности (не минерализованная вода) (1 проба)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2512,00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3064,64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34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плотности потока радона-222 с поверхности почвы (1 проба)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1443,00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1760,46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удельной активности радионуклидов (радий-226, торий-232, калий-40, цезий-137) (1 проба)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2641,00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3222,02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удельной активности радионуклидов (радий-226, торий-232, калий-40) для установления класса материала (1 проба)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2506,00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3057,32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Древесное сырье, лесоматериалы, изделия из древесины и древесных материалов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удельной активности радионуклидов (цезий-137 и стронций-90) (1 проба)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1761,00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2148,42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Воздух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эквивалентной объемной активности радона-222 экспресс методом (1 измерение)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539,00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657,58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средней объемной активности радона-222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квазиинтегральным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(1 точка)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1438,00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1754,36</w:t>
            </w:r>
          </w:p>
        </w:tc>
      </w:tr>
      <w:tr w:rsidR="00AB67D1" w:rsidRPr="00AB67D1" w:rsidTr="00AB67D1">
        <w:trPr>
          <w:trHeight w:val="34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Дозиметрические исследования</w:t>
            </w: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Радиационный контроль рентгеновского излучения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мощности дозы рентгеновского излучения (1 рабочее место)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1124,00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1371,28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124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мощности дозы на рабочих местах персонала, в помещениях и на территории, смежных с процедурной рентгеновского кабинета с дентальным аппаратом,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остеоденситометром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кабинета с аппаратом для рентгеноструктурного и рентгеноспектрального анализа (1 аппарат)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3807,00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4644,54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936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мощности дозы на рабочих местах персонала, в помещениях и на территории, смежных с процедурной рентгеновского кабинета с палатным аппаратом,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ортопантомографом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маммографом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аппарат)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6189,00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7550,58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98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мощности дозы на рабочих местах персонала, в помещениях и на территории, смежных с процедурной рентгеновского кабинета с аппаратом общего назначения, компьютерным томографом,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ангиографом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11474,00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13998,28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мощности дозы от рентгеновских установок для досмотра багажа и товаров 1-го и 2-го типов (1 установка и рабочие места)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4808,00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5865,76</w:t>
            </w:r>
          </w:p>
        </w:tc>
      </w:tr>
      <w:tr w:rsidR="00AB67D1" w:rsidRPr="00AB67D1" w:rsidTr="00AB67D1">
        <w:trPr>
          <w:trHeight w:val="936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мощности дозы от инспекционно-досмотровых ускорительных комплексов, радиотелевизионных установок (1 установка и рабочие места)</w:t>
            </w: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9888,00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12063,36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Гамма-съемка на территории и в помещениях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гамма-съёмка территории вне контура здания (1 га)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4736,00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5777,92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гамма-съёмка территории в контуре здания, (10000 м2)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4734,00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5775,48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гамма-съёмка поверхностей ограждающих конструкций помещений в здании (100 м2)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1132,00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1381,04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Мощность эквивалентной дозы гамма-излучения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мощности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амбиентной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эквивалентной дозы гамма-излучения земельного участка: до 20 точек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2492,00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3040,24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до 100 точек (за каждую точку)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122,00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точек (за каждую точку)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103,70</w:t>
            </w:r>
          </w:p>
        </w:tc>
      </w:tr>
      <w:tr w:rsidR="00AB67D1" w:rsidRPr="00AB67D1" w:rsidTr="00AB67D1">
        <w:trPr>
          <w:trHeight w:val="936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мощности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амбиентной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эквивалентной дозы гамма-излучения в помещениях зданий (1 помещение включая измерения естественного фона)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563,00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686,86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Радиационный контроль металлолома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загруженного в автомобиль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4036,00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4923,92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загруженного в грузовой контейнер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1759,00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2145,98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загруженного в вагон железнодорожного состава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6299,00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7684,78</w:t>
            </w:r>
          </w:p>
        </w:tc>
      </w:tr>
      <w:tr w:rsidR="00AB67D1" w:rsidRPr="00AB67D1" w:rsidTr="00AB67D1">
        <w:trPr>
          <w:trHeight w:val="34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НЕИОНИЗИРУЮЩИЕ ИЗЛУЧЕНИЕ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Инструментальное исследование уровня звука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936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эквивалентного, максимального уровней звука. Уровня звукового давления в октавных полосах со среднегеометрическими частотами (1 рабочее место, 1 помещение, 1 точка на территории)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2562,00</w:t>
            </w:r>
          </w:p>
        </w:tc>
      </w:tr>
      <w:tr w:rsidR="00AB67D1" w:rsidRPr="00AB67D1" w:rsidTr="00AB67D1">
        <w:trPr>
          <w:trHeight w:val="124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эквивалентного, максимального уровней инфразвука. Уровня звукового давления в октавных полосах со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среднегеометри-ческими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частотами (1 рабочее место, 1 помещение, 1 точка на территории)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3126,00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3813,72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Инструментальное исследование вибрации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936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вибрация. Исследование уровня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виброускорения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октавных полосах, эквивалентного корректированного уровня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виброускорения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 рабочее место, 1 помещение)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2371,00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2892,62</w:t>
            </w:r>
          </w:p>
        </w:tc>
      </w:tr>
      <w:tr w:rsidR="00AB67D1" w:rsidRPr="00AB67D1" w:rsidTr="00AB67D1">
        <w:trPr>
          <w:trHeight w:val="936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Локальная вибрация. Исследование уровня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виброускорения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октавных полосах, эквивалентного корректированного уровня </w:t>
            </w:r>
            <w:proofErr w:type="spellStart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виброускорения</w:t>
            </w:r>
            <w:proofErr w:type="spellEnd"/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 рабочее место, 1 помещение)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2371,00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2892,62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Инструментальное исследование электромагнитного излучения переменного тока промышленной частоты (50 Гц)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напряженности электрического, магнитного поля (1 рабочее место, 1 помещение, 1 точка на территории)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2019,00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2463,18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Инструментальные исследования уровней электромагнитных полей радиочастотного диапазона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напряженности электромагнитного поля (0,03-300 МГц) (1 рабочее место, 1 помещение)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1890,00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2305,80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плотности потока энергии (0,3-40 ГГц) (1 рабочее место, 1 помещение)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1607,00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1960,54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Инструментальные исследования уровней электромагнитных полей радиочастотного диапазона от ПРТО (за одну точку)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напряженности электромагнитного поля (0,01-300 МГц) (за один объект (мачту) до 5 точек)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5049,00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6159,78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плотности потока энергии (0,3-40 ГГц) (за один объект (мачту) до 5 точек)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4864,00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5934,08</w:t>
            </w:r>
          </w:p>
        </w:tc>
      </w:tr>
      <w:tr w:rsidR="00AB67D1" w:rsidRPr="00AB67D1" w:rsidTr="00AB67D1">
        <w:trPr>
          <w:trHeight w:val="936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напряженности электромагнитного поля (0,01-300 МГц) и плотности потока энергии (0,3-40 ГГц) (за один объект (мачту) до 5 точек)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7174,00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8752,28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66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15.4.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напряженности электромагнитного поля (0,01-300 МГц) в одной точке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1317,00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1606,74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плотности потока энергии (0,3-40 ГГц) в одной точке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1074,00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1310,28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Инструментальное исследование параметров микроклимата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58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параметров микроклимата на рабочем месте, в помещениях жилых и общественных зданиях (1 рабочее место, 1 помещение)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2167,00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2643,74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последующее рабочее место или помещение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1601,00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1953,22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Инструментальные исследования параметров световой среды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группа сложности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B67D1" w:rsidRPr="00AB67D1" w:rsidTr="00AB67D1">
        <w:trPr>
          <w:trHeight w:val="936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искусственной освещенности в помещении, на рабочем месте, на открытой территории (на открытой территории проведение возможно только в темное время суток, внерабочее время)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1847,00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2253,34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последующее рабочее место или помещение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1183,00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1443,26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коэффициента пульсации освещенности в помещении, территории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2457,00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2997,54</w:t>
            </w:r>
          </w:p>
        </w:tc>
      </w:tr>
      <w:tr w:rsidR="00AB67D1" w:rsidRPr="00AB67D1" w:rsidTr="00AB67D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последующее помещение, территорию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582,00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710,04</w:t>
            </w:r>
          </w:p>
        </w:tc>
      </w:tr>
      <w:tr w:rsidR="00AB67D1" w:rsidRPr="00AB67D1" w:rsidTr="00AB67D1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искусственной освещенности и коэффициента пульсации освещенности в помещении, на территории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2595,00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3165,90</w:t>
            </w:r>
          </w:p>
        </w:tc>
      </w:tr>
      <w:tr w:rsidR="00AB67D1" w:rsidRPr="00AB67D1" w:rsidTr="00FD2D21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17.6.</w:t>
            </w:r>
          </w:p>
        </w:tc>
        <w:tc>
          <w:tcPr>
            <w:tcW w:w="3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7D1" w:rsidRPr="00AB67D1" w:rsidRDefault="00AB67D1" w:rsidP="00AB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последующее помещение, территорию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669,00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D1" w:rsidRPr="00AB67D1" w:rsidRDefault="00AB67D1" w:rsidP="00AB67D1">
            <w:pPr>
              <w:jc w:val="center"/>
              <w:rPr>
                <w:rFonts w:ascii="Times New Roman" w:hAnsi="Times New Roman" w:cs="Times New Roman"/>
              </w:rPr>
            </w:pPr>
            <w:r w:rsidRPr="00AB67D1">
              <w:rPr>
                <w:rFonts w:ascii="Times New Roman" w:hAnsi="Times New Roman" w:cs="Times New Roman"/>
              </w:rPr>
              <w:t>816,18</w:t>
            </w:r>
          </w:p>
        </w:tc>
      </w:tr>
      <w:tr w:rsidR="00FD2D21" w:rsidRPr="00AB67D1" w:rsidTr="00FD2D21">
        <w:trPr>
          <w:trHeight w:val="31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D21" w:rsidRPr="00FD2D21" w:rsidRDefault="00FD2D21" w:rsidP="00FD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FD2D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21" w:rsidRPr="00FD2D21" w:rsidRDefault="00FD2D21" w:rsidP="00FD2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FD2D2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Инструментальное определение расстояния до объектов контроля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21" w:rsidRPr="00FD2D21" w:rsidRDefault="00FD2D21" w:rsidP="00FD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21" w:rsidRPr="00FD2D21" w:rsidRDefault="00FD2D21" w:rsidP="00FD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FD2D21" w:rsidRPr="00AB67D1" w:rsidTr="00FD2D21">
        <w:trPr>
          <w:trHeight w:val="31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D21" w:rsidRPr="00FD2D21" w:rsidRDefault="00FD2D21" w:rsidP="00FD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3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21" w:rsidRPr="00FD2D21" w:rsidRDefault="00FD2D21" w:rsidP="00FD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величины расстояния до объектов контроля на открытой территории 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21" w:rsidRPr="00FD2D21" w:rsidRDefault="00FD2D21" w:rsidP="00FD2D21">
            <w:pPr>
              <w:jc w:val="center"/>
              <w:rPr>
                <w:rFonts w:ascii="Times New Roman" w:hAnsi="Times New Roman" w:cs="Times New Roman"/>
              </w:rPr>
            </w:pPr>
            <w:r w:rsidRPr="00FD2D21">
              <w:rPr>
                <w:rFonts w:ascii="Times New Roman" w:hAnsi="Times New Roman" w:cs="Times New Roman"/>
              </w:rPr>
              <w:t>936,00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21" w:rsidRPr="00FD2D21" w:rsidRDefault="00FD2D21" w:rsidP="007B3700">
            <w:pPr>
              <w:jc w:val="center"/>
              <w:rPr>
                <w:rFonts w:ascii="Times New Roman" w:hAnsi="Times New Roman" w:cs="Times New Roman"/>
              </w:rPr>
            </w:pPr>
            <w:r w:rsidRPr="00FD2D21">
              <w:rPr>
                <w:rFonts w:ascii="Times New Roman" w:hAnsi="Times New Roman" w:cs="Times New Roman"/>
              </w:rPr>
              <w:t>1141,9</w:t>
            </w:r>
            <w:r w:rsidR="007B3700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</w:tr>
      <w:tr w:rsidR="00FD2D21" w:rsidRPr="00AB67D1" w:rsidTr="00FD2D21">
        <w:trPr>
          <w:trHeight w:val="33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D21" w:rsidRPr="00FD2D21" w:rsidRDefault="00FD2D21" w:rsidP="00FD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18.2.</w:t>
            </w:r>
          </w:p>
        </w:tc>
        <w:tc>
          <w:tcPr>
            <w:tcW w:w="3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D21" w:rsidRPr="00FD2D21" w:rsidRDefault="00FD2D21" w:rsidP="00FD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каждое последующее определение 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21" w:rsidRPr="00FD2D21" w:rsidRDefault="00FD2D21" w:rsidP="00FD2D21">
            <w:pPr>
              <w:jc w:val="center"/>
              <w:rPr>
                <w:rFonts w:ascii="Times New Roman" w:hAnsi="Times New Roman" w:cs="Times New Roman"/>
              </w:rPr>
            </w:pPr>
            <w:r w:rsidRPr="00FD2D21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D21" w:rsidRPr="00FD2D21" w:rsidRDefault="00FD2D21" w:rsidP="00FD2D21">
            <w:pPr>
              <w:jc w:val="center"/>
              <w:rPr>
                <w:rFonts w:ascii="Times New Roman" w:hAnsi="Times New Roman" w:cs="Times New Roman"/>
              </w:rPr>
            </w:pPr>
            <w:r w:rsidRPr="00FD2D21">
              <w:rPr>
                <w:rFonts w:ascii="Times New Roman" w:hAnsi="Times New Roman" w:cs="Times New Roman"/>
              </w:rPr>
              <w:t>488,00</w:t>
            </w:r>
          </w:p>
        </w:tc>
      </w:tr>
    </w:tbl>
    <w:p w:rsidR="002D25E9" w:rsidRPr="00AB67D1" w:rsidRDefault="002D25E9">
      <w:pPr>
        <w:rPr>
          <w:rFonts w:ascii="Times New Roman" w:hAnsi="Times New Roman" w:cs="Times New Roman"/>
        </w:rPr>
      </w:pPr>
    </w:p>
    <w:sectPr w:rsidR="002D25E9" w:rsidRPr="00AB67D1" w:rsidSect="00CE1D0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FE"/>
    <w:rsid w:val="002D25E9"/>
    <w:rsid w:val="003D1415"/>
    <w:rsid w:val="007B3700"/>
    <w:rsid w:val="009934F8"/>
    <w:rsid w:val="00AB67D1"/>
    <w:rsid w:val="00CE1D0D"/>
    <w:rsid w:val="00FD2D21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236D"/>
  <w15:chartTrackingRefBased/>
  <w15:docId w15:val="{1E704B6E-7BBB-424D-BD17-84287EC9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Бондаренко</dc:creator>
  <cp:keywords/>
  <dc:description/>
  <cp:lastModifiedBy>kab_5_PC_3</cp:lastModifiedBy>
  <cp:revision>7</cp:revision>
  <dcterms:created xsi:type="dcterms:W3CDTF">2025-03-18T07:37:00Z</dcterms:created>
  <dcterms:modified xsi:type="dcterms:W3CDTF">2026-04-09T02:53:00Z</dcterms:modified>
</cp:coreProperties>
</file>